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335" w:val="left"/>
        </w:tabs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2851150</wp:posOffset>
            </wp:positionH>
            <wp:positionV relativeFrom="paragraph">
              <wp:posOffset>125095</wp:posOffset>
            </wp:positionV>
            <wp:extent cx="380365" cy="54927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Україна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Мелітопольська міська рада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Запорізької області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  <w:lang w:val="ru-RU"/>
        </w:rPr>
        <w:t>__</w:t>
      </w:r>
      <w:r>
        <w:rPr>
          <w:rFonts w:cs="Times New Roman"/>
          <w:sz w:val="28"/>
          <w:szCs w:val="28"/>
          <w:shd w:fill="FFFFFF" w:val="clear"/>
        </w:rPr>
        <w:t xml:space="preserve"> скликання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____сесія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Р І Ш Е Н Н Я</w:t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center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tabs>
          <w:tab w:leader="none" w:pos="7740" w:val="left"/>
        </w:tabs>
        <w:rPr>
          <w:rFonts w:cs="Times New Roman"/>
          <w:sz w:val="28"/>
          <w:szCs w:val="28"/>
          <w:shd w:fill="FFFFFF" w:val="clear"/>
        </w:rPr>
      </w:pPr>
      <w:r>
        <w:rPr>
          <w:rFonts w:cs="Times New Roman" w:eastAsia="Times New Roman"/>
          <w:b/>
          <w:bCs/>
          <w:sz w:val="28"/>
          <w:szCs w:val="28"/>
          <w:shd w:fill="FFFFFF" w:val="clear"/>
        </w:rPr>
        <w:t xml:space="preserve">  </w:t>
      </w:r>
      <w:r>
        <w:rPr>
          <w:rFonts w:cs="Times New Roman"/>
          <w:b/>
          <w:bCs/>
          <w:sz w:val="28"/>
          <w:szCs w:val="28"/>
          <w:shd w:fill="FFFFFF" w:val="clear"/>
        </w:rPr>
        <w:t>__________________</w:t>
      </w:r>
      <w:r>
        <w:rPr>
          <w:rFonts w:cs="Times New Roman"/>
          <w:sz w:val="28"/>
          <w:szCs w:val="28"/>
          <w:shd w:fill="FFFFFF" w:val="clear"/>
        </w:rPr>
        <w:tab/>
        <w:t xml:space="preserve">№ _________  </w:t>
      </w:r>
    </w:p>
    <w:p>
      <w:pPr>
        <w:pStyle w:val="style0"/>
        <w:tabs>
          <w:tab w:leader="none" w:pos="7740" w:val="left"/>
        </w:tabs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tabs>
          <w:tab w:leader="none" w:pos="7740" w:val="left"/>
        </w:tabs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Про затвердження міської програми «Впровадження енергозберігаючих заходів на об’єктах теплопостачання міста Мелітополя»</w:t>
      </w:r>
    </w:p>
    <w:p>
      <w:pPr>
        <w:pStyle w:val="style0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ind w:firstLine="709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 w:eastAsia="Times New Roman"/>
          <w:sz w:val="28"/>
          <w:szCs w:val="28"/>
        </w:rPr>
        <w:t xml:space="preserve">Керуючись ст. 91 Бюджетного кодексу України, ст. 26 Закону України «Про місцеве самоврядування в Україні», </w:t>
      </w:r>
      <w:r>
        <w:rPr>
          <w:rFonts w:cs="Times New Roman"/>
          <w:sz w:val="28"/>
          <w:szCs w:val="28"/>
          <w:shd w:fill="FFFFFF" w:val="clear"/>
        </w:rPr>
        <w:t xml:space="preserve"> </w:t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ab/>
        <w:t>Мелітопольська міська рада Запорізької області</w:t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ВИРІШИЛА:</w:t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ind w:hanging="0" w:left="0" w:right="-82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tabs>
          <w:tab w:leader="none" w:pos="709" w:val="left"/>
        </w:tabs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 w:eastAsia="Times New Roman"/>
          <w:sz w:val="28"/>
          <w:szCs w:val="28"/>
          <w:shd w:fill="FFFFFF" w:val="clear"/>
        </w:rPr>
        <w:tab/>
      </w:r>
      <w:r>
        <w:rPr>
          <w:rFonts w:cs="Times New Roman"/>
          <w:sz w:val="28"/>
          <w:szCs w:val="28"/>
          <w:shd w:fill="FFFFFF" w:val="clear"/>
        </w:rPr>
        <w:t>1. Затвердити міську програму «Впровадження енергозберігаючих заходів на об’єктах теплопостачання міста Мелітополя» згідно з додатком.</w:t>
      </w:r>
    </w:p>
    <w:p>
      <w:pPr>
        <w:pStyle w:val="style0"/>
        <w:tabs>
          <w:tab w:leader="none" w:pos="709" w:val="left"/>
          <w:tab w:leader="none" w:pos="1140" w:val="left"/>
          <w:tab w:leader="none" w:pos="1185" w:val="left"/>
        </w:tabs>
        <w:ind w:hanging="0" w:left="0" w:right="-82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sz w:val="28"/>
          <w:szCs w:val="28"/>
          <w:shd w:fill="FFFFFF" w:val="clear"/>
        </w:rPr>
        <w:tab/>
      </w:r>
      <w:r>
        <w:rPr>
          <w:rFonts w:cs="Times New Roman"/>
          <w:sz w:val="28"/>
          <w:szCs w:val="28"/>
          <w:shd w:fill="FFFFFF" w:val="clear"/>
        </w:rPr>
        <w:t xml:space="preserve">2. </w:t>
      </w:r>
      <w:r>
        <w:rPr>
          <w:rFonts w:cs="Times New Roman" w:eastAsia="Times New Roman"/>
          <w:color w:val="000000"/>
          <w:sz w:val="28"/>
          <w:szCs w:val="28"/>
          <w:shd w:fill="FFFFFF" w:val="clear"/>
        </w:rPr>
        <w:t xml:space="preserve">Контроль за виконанням цього рішення покласти на </w:t>
      </w:r>
      <w:r>
        <w:rPr>
          <w:rFonts w:cs="Times New Roman" w:eastAsia="Times New Roman"/>
          <w:color w:val="000000"/>
          <w:sz w:val="28"/>
          <w:szCs w:val="28"/>
        </w:rPr>
        <w:t>постійну депутатську комісію з питань житлово-комунального господарства та паливно-енергетичного комплексу, підприємництва, промисловості та на постійну депутатську комісію з питань бюджету та соціально-економічного розвитку міста.</w:t>
      </w:r>
    </w:p>
    <w:p>
      <w:pPr>
        <w:pStyle w:val="style0"/>
        <w:ind w:firstLine="709" w:left="0" w:right="0"/>
        <w:jc w:val="both"/>
        <w:rPr>
          <w:rFonts w:cs="Times New Roman" w:eastAsia="Times New Roman"/>
          <w:sz w:val="28"/>
          <w:szCs w:val="28"/>
          <w:shd w:fill="FFFFFF" w:val="clear"/>
          <w:lang w:val="ru-RU"/>
        </w:rPr>
      </w:pPr>
      <w:r>
        <w:rPr>
          <w:rFonts w:cs="Times New Roman" w:eastAsia="Times New Roman"/>
          <w:sz w:val="28"/>
          <w:szCs w:val="28"/>
          <w:shd w:fill="FFFFFF" w:val="clear"/>
          <w:lang w:val="ru-RU"/>
        </w:rPr>
      </w:r>
    </w:p>
    <w:p>
      <w:pPr>
        <w:pStyle w:val="style0"/>
        <w:ind w:firstLine="709" w:left="0" w:right="0"/>
        <w:jc w:val="both"/>
        <w:rPr>
          <w:rFonts w:cs="Times New Roman" w:eastAsia="Times New Roman"/>
          <w:sz w:val="28"/>
          <w:szCs w:val="28"/>
          <w:shd w:fill="FFFFFF" w:val="clear"/>
          <w:lang w:val="ru-RU"/>
        </w:rPr>
      </w:pPr>
      <w:r>
        <w:rPr>
          <w:rFonts w:cs="Times New Roman" w:eastAsia="Times New Roman"/>
          <w:sz w:val="28"/>
          <w:szCs w:val="28"/>
          <w:shd w:fill="FFFFFF" w:val="clear"/>
          <w:lang w:val="ru-RU"/>
        </w:rPr>
      </w:r>
    </w:p>
    <w:p>
      <w:pPr>
        <w:pStyle w:val="style0"/>
        <w:ind w:firstLine="709" w:left="0" w:right="0"/>
        <w:jc w:val="both"/>
        <w:rPr>
          <w:rFonts w:cs="Times New Roman" w:eastAsia="Times New Roman"/>
          <w:sz w:val="28"/>
          <w:szCs w:val="28"/>
          <w:shd w:fill="FFFFFF" w:val="clear"/>
          <w:lang w:val="ru-RU"/>
        </w:rPr>
      </w:pPr>
      <w:r>
        <w:rPr>
          <w:rFonts w:cs="Times New Roman" w:eastAsia="Times New Roman"/>
          <w:sz w:val="28"/>
          <w:szCs w:val="28"/>
          <w:shd w:fill="FFFFFF" w:val="clear"/>
          <w:lang w:val="ru-RU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  <w:shd w:fill="FFFFFF" w:val="clear"/>
        </w:rPr>
      </w:pPr>
      <w:r>
        <w:rPr>
          <w:rFonts w:cs="Times New Roman" w:eastAsia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eastAsia="Times New Roman"/>
          <w:color w:val="000000"/>
          <w:sz w:val="28"/>
          <w:szCs w:val="28"/>
          <w:shd w:fill="FFFFFF" w:val="clear"/>
        </w:rPr>
        <w:t>Мелітопольський міський голова                                             С.А. Мінько</w:t>
      </w:r>
    </w:p>
    <w:p>
      <w:pPr>
        <w:pStyle w:val="style0"/>
        <w:pageBreakBefore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Рішення підготував: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Начальник управління комунальною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власністю</w:t>
        <w:tab/>
        <w:tab/>
        <w:tab/>
        <w:tab/>
        <w:tab/>
        <w:tab/>
        <w:tab/>
        <w:tab/>
        <w:tab/>
        <w:t>Д.Г. Котлов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Рішення вносить: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spacing w:line="264" w:lineRule="auto"/>
        <w:jc w:val="both"/>
        <w:rPr>
          <w:rStyle w:val="style16"/>
          <w:rFonts w:cs="Times New Roman"/>
          <w:color w:val="000000"/>
          <w:sz w:val="28"/>
          <w:szCs w:val="28"/>
          <w:lang w:eastAsia="uk-UA"/>
        </w:rPr>
      </w:pPr>
      <w:r>
        <w:rPr>
          <w:rStyle w:val="style16"/>
          <w:rFonts w:cs="Times New Roman"/>
          <w:color w:val="000000"/>
          <w:sz w:val="28"/>
          <w:szCs w:val="28"/>
          <w:lang w:eastAsia="uk-UA"/>
        </w:rPr>
        <w:t xml:space="preserve">Постійна депутатська комісія з питань </w:t>
      </w:r>
    </w:p>
    <w:p>
      <w:pPr>
        <w:pStyle w:val="style0"/>
        <w:spacing w:line="264" w:lineRule="auto"/>
        <w:jc w:val="both"/>
        <w:rPr>
          <w:rStyle w:val="style16"/>
          <w:rFonts w:cs="Times New Roman"/>
          <w:color w:val="000000"/>
          <w:sz w:val="28"/>
          <w:szCs w:val="28"/>
          <w:lang w:eastAsia="uk-UA"/>
        </w:rPr>
      </w:pPr>
      <w:r>
        <w:rPr>
          <w:rStyle w:val="style16"/>
          <w:rFonts w:cs="Times New Roman"/>
          <w:color w:val="000000"/>
          <w:sz w:val="28"/>
          <w:szCs w:val="28"/>
          <w:lang w:eastAsia="uk-UA"/>
        </w:rPr>
        <w:t xml:space="preserve">житлово-комунального господарства та </w:t>
      </w:r>
    </w:p>
    <w:p>
      <w:pPr>
        <w:pStyle w:val="style0"/>
        <w:spacing w:line="264" w:lineRule="auto"/>
        <w:jc w:val="both"/>
        <w:rPr>
          <w:rStyle w:val="style16"/>
          <w:rFonts w:cs="Times New Roman"/>
          <w:color w:val="000000"/>
          <w:sz w:val="28"/>
          <w:szCs w:val="28"/>
          <w:lang w:eastAsia="uk-UA"/>
        </w:rPr>
      </w:pPr>
      <w:r>
        <w:rPr>
          <w:rStyle w:val="style16"/>
          <w:rFonts w:cs="Times New Roman"/>
          <w:color w:val="000000"/>
          <w:sz w:val="28"/>
          <w:szCs w:val="28"/>
          <w:lang w:eastAsia="uk-UA"/>
        </w:rPr>
        <w:t xml:space="preserve">паливно-енергетичного комплексу, </w:t>
      </w:r>
    </w:p>
    <w:p>
      <w:pPr>
        <w:pStyle w:val="style0"/>
        <w:spacing w:line="264" w:lineRule="auto"/>
        <w:jc w:val="both"/>
        <w:rPr>
          <w:rStyle w:val="style16"/>
          <w:rFonts w:cs="Times New Roman" w:eastAsia="Times New Roman"/>
          <w:color w:val="000000"/>
          <w:sz w:val="28"/>
          <w:szCs w:val="28"/>
          <w:shd w:fill="FFFFFF" w:val="clear"/>
          <w:lang w:eastAsia="uk-UA" w:val="ru-RU"/>
        </w:rPr>
      </w:pPr>
      <w:r>
        <w:rPr>
          <w:rStyle w:val="style16"/>
          <w:rFonts w:cs="Times New Roman" w:eastAsia="Times New Roman"/>
          <w:color w:val="000000"/>
          <w:sz w:val="28"/>
          <w:szCs w:val="28"/>
          <w:shd w:fill="FFFFFF" w:val="clear"/>
          <w:lang w:eastAsia="uk-UA"/>
        </w:rPr>
        <w:t>підприємництва, промисловості</w:t>
      </w:r>
      <w:r>
        <w:rPr>
          <w:rStyle w:val="style16"/>
          <w:rFonts w:cs="Times New Roman" w:eastAsia="Times New Roman"/>
          <w:color w:val="000000"/>
          <w:sz w:val="28"/>
          <w:szCs w:val="28"/>
          <w:shd w:fill="FFFFFF" w:val="clear"/>
          <w:lang w:eastAsia="uk-UA" w:val="ru-RU"/>
        </w:rPr>
        <w:tab/>
        <w:tab/>
        <w:tab/>
        <w:tab/>
        <w:tab/>
        <w:t>______________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  <w:lang w:val="ru-RU"/>
        </w:rPr>
      </w:pPr>
      <w:r>
        <w:rPr>
          <w:rFonts w:cs="Times New Roman"/>
          <w:sz w:val="28"/>
          <w:szCs w:val="28"/>
          <w:shd w:fill="FFFFFF" w:val="clear"/>
          <w:lang w:val="ru-RU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Погоджено: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Постійна депутатська комісія з питань 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бюджету та соціально-економічного </w:t>
      </w:r>
    </w:p>
    <w:p>
      <w:pPr>
        <w:pStyle w:val="style0"/>
        <w:jc w:val="both"/>
        <w:rPr>
          <w:rStyle w:val="style16"/>
          <w:rFonts w:cs="Times New Roman"/>
          <w:color w:val="000000"/>
          <w:sz w:val="28"/>
          <w:szCs w:val="28"/>
          <w:shd w:fill="FFFFFF" w:val="clear"/>
          <w:lang w:eastAsia="uk-UA"/>
        </w:rPr>
      </w:pPr>
      <w:r>
        <w:rPr>
          <w:rStyle w:val="style16"/>
          <w:rFonts w:cs="Times New Roman"/>
          <w:color w:val="000000"/>
          <w:sz w:val="28"/>
          <w:szCs w:val="28"/>
          <w:shd w:fill="FFFFFF" w:val="clear"/>
          <w:lang w:eastAsia="uk-UA"/>
        </w:rPr>
        <w:t>розвитку міста</w:t>
        <w:tab/>
        <w:tab/>
        <w:tab/>
        <w:tab/>
        <w:tab/>
        <w:tab/>
        <w:tab/>
        <w:tab/>
        <w:t>______________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Перший заступник міського голови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з питань діяльності виконавчих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органів ради</w:t>
        <w:tab/>
        <w:tab/>
        <w:tab/>
        <w:tab/>
        <w:tab/>
        <w:tab/>
        <w:tab/>
        <w:tab/>
        <w:t>І.В. Рудакова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Заступник міського голови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з питань діяльності виконавчих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органів ради</w:t>
        <w:tab/>
        <w:tab/>
        <w:tab/>
        <w:tab/>
        <w:tab/>
        <w:tab/>
        <w:tab/>
        <w:tab/>
        <w:t>С.І. Павленко</w:t>
      </w:r>
    </w:p>
    <w:p>
      <w:pPr>
        <w:pStyle w:val="style0"/>
        <w:jc w:val="both"/>
        <w:rPr>
          <w:rFonts w:cs="Times New Roman" w:eastAsia="Times New Roman"/>
          <w:sz w:val="28"/>
          <w:szCs w:val="28"/>
          <w:shd w:fill="FFFFFF" w:val="clear"/>
        </w:rPr>
      </w:pPr>
      <w:r>
        <w:rPr>
          <w:rFonts w:cs="Times New Roman" w:eastAsia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Начальник фінансового управління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Мелітопольської міської ради</w:t>
        <w:tab/>
        <w:tab/>
        <w:tab/>
        <w:tab/>
        <w:tab/>
        <w:tab/>
        <w:t>Я.В. Чабан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 xml:space="preserve">Начальник управління </w:t>
      </w:r>
    </w:p>
    <w:p>
      <w:pPr>
        <w:pStyle w:val="style0"/>
        <w:tabs>
          <w:tab w:leader="none" w:pos="7260" w:val="left"/>
          <w:tab w:leader="none" w:pos="7305" w:val="left"/>
        </w:tabs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правового забезпечення</w:t>
        <w:tab/>
        <w:t xml:space="preserve">М.С. Гринько 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Головний спеціаліст відділу з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 xml:space="preserve">регуляторної політики </w:t>
      </w:r>
    </w:p>
    <w:p>
      <w:pPr>
        <w:pStyle w:val="style0"/>
        <w:jc w:val="both"/>
        <w:rPr>
          <w:rFonts w:cs="Times New Roman"/>
          <w:sz w:val="28"/>
          <w:szCs w:val="28"/>
          <w:shd w:fill="FFFFFF" w:val="clear"/>
        </w:rPr>
      </w:pPr>
      <w:r>
        <w:rPr>
          <w:rFonts w:cs="Times New Roman"/>
          <w:sz w:val="28"/>
          <w:szCs w:val="28"/>
          <w:shd w:fill="FFFFFF" w:val="clear"/>
        </w:rPr>
        <w:t>та конкурсних закупівель</w:t>
      </w:r>
      <w:r>
        <w:rPr>
          <w:rFonts w:cs="Times New Roman"/>
          <w:sz w:val="28"/>
          <w:szCs w:val="28"/>
          <w:shd w:fill="FFFFFF" w:val="clear"/>
          <w:lang w:val="ru-RU"/>
        </w:rPr>
        <w:tab/>
        <w:tab/>
        <w:tab/>
        <w:tab/>
        <w:tab/>
        <w:tab/>
      </w:r>
      <w:r>
        <w:rPr>
          <w:rFonts w:cs="Times New Roman"/>
          <w:sz w:val="28"/>
          <w:szCs w:val="28"/>
          <w:shd w:fill="FFFFFF" w:val="clear"/>
        </w:rPr>
        <w:t xml:space="preserve">Т.В. Житник       </w:t>
      </w:r>
    </w:p>
    <w:p>
      <w:pPr>
        <w:pStyle w:val="style0"/>
        <w:tabs>
          <w:tab w:leader="none" w:pos="7371" w:val="left"/>
        </w:tabs>
        <w:rPr>
          <w:rFonts w:cs="Times New Roman" w:eastAsia="Times New Roman"/>
          <w:color w:val="000000"/>
          <w:sz w:val="28"/>
          <w:szCs w:val="28"/>
          <w:shd w:fill="FFFFFF" w:val="clear"/>
          <w:lang w:val="ru-RU"/>
        </w:rPr>
      </w:pPr>
      <w:r>
        <w:rPr>
          <w:rFonts w:cs="Times New Roman" w:eastAsia="Times New Roman"/>
          <w:color w:val="000000"/>
          <w:sz w:val="28"/>
          <w:szCs w:val="28"/>
          <w:shd w:fill="FFFFFF" w:val="clear"/>
          <w:lang w:val="ru-RU"/>
        </w:rPr>
      </w:r>
    </w:p>
    <w:p>
      <w:pPr>
        <w:pStyle w:val="style0"/>
        <w:tabs>
          <w:tab w:leader="none" w:pos="7371" w:val="left"/>
        </w:tabs>
        <w:rPr>
          <w:rFonts w:cs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  <w:shd w:fill="FFFFFF" w:val="clear"/>
        </w:rPr>
        <w:t xml:space="preserve">Головний спеціаліст-коректор                                                   </w:t>
      </w:r>
      <w:r>
        <w:rPr>
          <w:rFonts w:cs="Times New Roman" w:eastAsia="Times New Roman"/>
          <w:color w:val="000000"/>
          <w:sz w:val="28"/>
          <w:szCs w:val="28"/>
        </w:rPr>
        <w:t>Л.С. Захарова</w:t>
      </w:r>
      <w:r>
        <w:rPr>
          <w:rFonts w:cs="Times New Roman"/>
          <w:sz w:val="28"/>
          <w:szCs w:val="28"/>
        </w:rPr>
        <w:tab/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ab/>
        <w:t>до рішення _____ сесії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ab/>
        <w:t>Мелітопольської міської ради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ab/>
        <w:t xml:space="preserve">Запорізької області </w:t>
      </w:r>
    </w:p>
    <w:p>
      <w:pPr>
        <w:pStyle w:val="style0"/>
        <w:ind w:firstLine="709" w:left="4963"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VII</w:t>
      </w:r>
      <w:r>
        <w:rPr>
          <w:rFonts w:cs="Times New Roman"/>
          <w:sz w:val="28"/>
          <w:szCs w:val="28"/>
        </w:rPr>
        <w:t xml:space="preserve"> скликання</w:t>
      </w:r>
    </w:p>
    <w:p>
      <w:pPr>
        <w:pStyle w:val="style0"/>
        <w:ind w:firstLine="709" w:left="4963"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від ___________№______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ind w:firstLine="709" w:left="0" w:righ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Міська програма «</w:t>
      </w:r>
      <w:r>
        <w:rPr>
          <w:rFonts w:cs="Times New Roman"/>
          <w:sz w:val="28"/>
          <w:szCs w:val="28"/>
          <w:shd w:fill="FFFFFF" w:val="clear"/>
        </w:rPr>
        <w:t>Впровадження енергозберігаючих заходів на об’єктах теплопостачання міста Мелітополя</w:t>
      </w:r>
      <w:r>
        <w:rPr>
          <w:rFonts w:cs="Times New Roman"/>
          <w:sz w:val="28"/>
          <w:szCs w:val="28"/>
        </w:rPr>
        <w:t>»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І. Обґрунтування здійснення програми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Програма спрямована на розв’язання однієї з найважливіших соціальних проблем міста – забезпечення якісного теплопостачання житлових будинків, об’єктів соціальної сфери та інших споживачів, за оптимально, економічно обґрунтованими тарифами, впровадження енергозберігаючих та енергоефективних заходів на котельнях та теплових пунктах.</w:t>
      </w:r>
    </w:p>
    <w:p>
      <w:pPr>
        <w:pStyle w:val="style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Необхідність розробки Програми обумовлена наступними чинниками:</w:t>
      </w:r>
    </w:p>
    <w:p>
      <w:pPr>
        <w:pStyle w:val="style0"/>
        <w:widowControl/>
        <w:numPr>
          <w:ilvl w:val="0"/>
          <w:numId w:val="1"/>
        </w:numPr>
        <w:tabs>
          <w:tab w:leader="none" w:pos="1134" w:val="left"/>
        </w:tabs>
        <w:suppressAutoHyphens w:val="false"/>
        <w:ind w:hanging="36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Вичерпаний ресурс теплотехнічного обладнання котелень і дефіцит коштів на його модернізацію та реконструкцію.</w:t>
      </w:r>
    </w:p>
    <w:p>
      <w:pPr>
        <w:pStyle w:val="style0"/>
        <w:widowControl/>
        <w:numPr>
          <w:ilvl w:val="0"/>
          <w:numId w:val="1"/>
        </w:numPr>
        <w:tabs>
          <w:tab w:leader="none" w:pos="1134" w:val="left"/>
        </w:tabs>
        <w:suppressAutoHyphens w:val="false"/>
        <w:ind w:hanging="36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Наявність застарілого неефективного котельного та насосно-силового обладнання.</w:t>
      </w:r>
    </w:p>
    <w:p>
      <w:pPr>
        <w:pStyle w:val="style0"/>
        <w:widowControl/>
        <w:numPr>
          <w:ilvl w:val="0"/>
          <w:numId w:val="1"/>
        </w:numPr>
        <w:tabs>
          <w:tab w:leader="none" w:pos="1134" w:val="left"/>
        </w:tabs>
        <w:suppressAutoHyphens w:val="false"/>
        <w:ind w:hanging="36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Підвищення вартості на енергоносії та теплову енергію.</w:t>
      </w:r>
    </w:p>
    <w:p>
      <w:pPr>
        <w:pStyle w:val="style0"/>
        <w:widowControl/>
        <w:numPr>
          <w:ilvl w:val="0"/>
          <w:numId w:val="1"/>
        </w:numPr>
        <w:tabs>
          <w:tab w:leader="none" w:pos="1134" w:val="left"/>
        </w:tabs>
        <w:suppressAutoHyphens w:val="false"/>
        <w:ind w:hanging="36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Наявність факторів забруднення атмосферного повітря та навколишнього середовища.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ІІ. Підстава для розроблення програми</w:t>
      </w:r>
    </w:p>
    <w:p>
      <w:pPr>
        <w:pStyle w:val="style0"/>
        <w:tabs>
          <w:tab w:leader="none" w:pos="720" w:val="left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Програма розроблена на підставі Бюджетного кодексу України, законів України «Про місцеве самоврядування в Україні», «Про житлово-комунальні послуги», «Про теплопостачання», рішення 48 сесії Мелітопольської міської ради Запорізької області </w:t>
      </w: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 xml:space="preserve"> скликання від 18.06.2010 №19 «Про затвердження оптимізованої схеми перспективного розвитку системи теплопостачання міста Мелітополя», рішення 27 сесії Мелітопольської міської ради Запорізької області </w:t>
      </w:r>
      <w:r>
        <w:rPr>
          <w:rFonts w:cs="Times New Roman"/>
          <w:sz w:val="28"/>
          <w:szCs w:val="28"/>
          <w:lang w:val="en-US"/>
        </w:rPr>
        <w:t>VI</w:t>
      </w:r>
      <w:r>
        <w:rPr>
          <w:rFonts w:cs="Times New Roman"/>
          <w:sz w:val="28"/>
          <w:szCs w:val="28"/>
        </w:rPr>
        <w:t xml:space="preserve"> скликання від 28.09.2012 №6 «</w:t>
      </w:r>
      <w:r>
        <w:rPr>
          <w:rFonts w:cs="Times New Roman"/>
          <w:color w:val="222222"/>
          <w:sz w:val="28"/>
          <w:szCs w:val="28"/>
          <w:shd w:fill="FFFFFF" w:val="clear"/>
        </w:rPr>
        <w:t>Про затвердження Стратегії розвитку міста Мелітополя до 2020 року та втрату чинності рішення 23 сесії Мелітопольської міської ради Запорізької області V скликання від 27.12.2007 №8 «Про затвердження Стратегічного плану економічного розвитку міста Мелітополя»</w:t>
      </w:r>
      <w:r>
        <w:rPr>
          <w:rFonts w:cs="Times New Roman"/>
          <w:sz w:val="28"/>
          <w:szCs w:val="28"/>
        </w:rPr>
        <w:t xml:space="preserve">». </w:t>
      </w:r>
    </w:p>
    <w:p>
      <w:pPr>
        <w:pStyle w:val="style0"/>
        <w:tabs>
          <w:tab w:leader="none" w:pos="720" w:val="left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tabs>
          <w:tab w:leader="none" w:pos="720" w:val="left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ІІІ. Мета та завдання програми</w:t>
      </w:r>
    </w:p>
    <w:p>
      <w:pPr>
        <w:pStyle w:val="style0"/>
        <w:tabs>
          <w:tab w:leader="none" w:pos="900" w:val="left"/>
        </w:tabs>
        <w:ind w:firstLine="709" w:left="0" w:right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Метою Програми є забезпечення якісного, сталого теплопостачання всіх категорій споживачів, зменшення обсягу споживання енергетичних ресурсів.</w:t>
      </w:r>
    </w:p>
    <w:p>
      <w:pPr>
        <w:pStyle w:val="style0"/>
        <w:tabs>
          <w:tab w:leader="none" w:pos="900" w:val="left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Основним завданням Програми є впровадження комплексу конкретних Заходів, виконання яких надасть можливості забезпечити надійне теплопостачання споживачів, досягти економії енергетичних (природного газу та електроенергії) та матеріальних ресурсів.</w:t>
      </w:r>
    </w:p>
    <w:p>
      <w:pPr>
        <w:pStyle w:val="style0"/>
        <w:tabs>
          <w:tab w:leader="none" w:pos="720" w:val="left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style0"/>
        <w:tabs>
          <w:tab w:leader="none" w:pos="720" w:val="left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style0"/>
        <w:tabs>
          <w:tab w:leader="none" w:pos="720" w:val="left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</w:t>
      </w: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. Напрями та заходи виконання програми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Виконання Програми здійснюється за такими основними напрямками: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 Забезпечення споживачів послугами з теплопостачання гарантованої якості.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 Підвищення енергоефективності.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 Зниження втрат та неврахованих витрат теплоносія.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 Підвищення надійності роботи системи теплопостачання при виробленні теплової енергії та транспортуванні до споживачів.</w:t>
      </w:r>
    </w:p>
    <w:p>
      <w:pPr>
        <w:pStyle w:val="style0"/>
        <w:spacing w:line="200" w:lineRule="atLeast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 Підвищення надійності роботи та рівня експлуатації системи теплопостачання.</w:t>
      </w:r>
    </w:p>
    <w:p>
      <w:pPr>
        <w:pStyle w:val="style0"/>
        <w:tabs>
          <w:tab w:leader="none" w:pos="720" w:val="left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Напрямком використання коштів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є оснащення котелень міста сучасним енергоефективним насосним та котельним обладнанням.</w:t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>. Загальний обсяг фінансування програми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</w:rPr>
        <w:t>Загальний обсяг коштів, передбачених на виконання цієї програми, складає 6100,0 тис.грн.</w:t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VI</w:t>
      </w:r>
      <w:r>
        <w:rPr>
          <w:rFonts w:cs="Times New Roman"/>
          <w:sz w:val="28"/>
          <w:szCs w:val="28"/>
        </w:rPr>
        <w:t>. Етапи виконання програми</w:t>
      </w:r>
    </w:p>
    <w:p>
      <w:pPr>
        <w:pStyle w:val="style0"/>
        <w:ind w:firstLine="709" w:left="0"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Заходи за програмою виконуються протягом 2017 року.</w:t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VII</w:t>
      </w:r>
      <w:r>
        <w:rPr>
          <w:rFonts w:cs="Times New Roman"/>
          <w:sz w:val="28"/>
          <w:szCs w:val="28"/>
        </w:rPr>
        <w:t>. Джерело фінансування програми</w:t>
      </w:r>
    </w:p>
    <w:p>
      <w:pPr>
        <w:pStyle w:val="style0"/>
        <w:ind w:firstLine="709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Виконання заходів за програмою здійснюється за рахунок та в межах коштів, передбачених у міському бюджеті на 2017 рік на виконання зазначеної програми.</w:t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>. Очікувані результати виконання програми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Програми дозволить створити умови для забезпечення споживачів м. Мелітополя послугами з теплопостачання гарантованої якості, забезпечить надійність функціонування об’єктів теплопостачання та запобігти їх впливу на навколишнє природне середовище, а саме: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 економічному секторі: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зменшити на 6% питому вагу витрат умовного палива та зекономити 126,29 тис.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на рік споживання природного газу котельні по вул. Генерала Петрова, 50/1 або 987,3 тис.грн на рік;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зменшити на 35 % та досягти економічного ефекту 196 кВт*год або 823,0 тис. кВт споживання електричної енергії обладнанням котелень по вул. Героїв Сталінграда, 2/1, вул. Гвардійська, 40/1 у опалювальний період, що складає 1728,0 тис.грн;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знизити витоки та невраховані втрати теплоносія в мережах;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скоротити аварійність на теплових мережах;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 соціальній сфері: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забезпечити гарантовану якість послуг з теплопостачання відповідно до чинних нормативів;</w:t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 екологічній сфері:</w:t>
      </w:r>
    </w:p>
    <w:p>
      <w:pPr>
        <w:pStyle w:val="style0"/>
        <w:spacing w:line="200" w:lineRule="atLeast"/>
        <w:ind w:firstLine="709" w:left="0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зменшити викиди СО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 у повітря.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IX</w:t>
      </w:r>
      <w:r>
        <w:rPr>
          <w:rFonts w:cs="Times New Roman"/>
          <w:sz w:val="28"/>
          <w:szCs w:val="28"/>
        </w:rPr>
        <w:t>. Головний розпорядник та відповідальний виконавець програми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</w:rPr>
        <w:t>Головним розпорядником та відповідальним виконавцем програми є управління комунальною власністю Мелітопольської міської ради Запорізької області.</w:t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X</w:t>
      </w:r>
      <w:r>
        <w:rPr>
          <w:rFonts w:cs="Times New Roman"/>
          <w:sz w:val="28"/>
          <w:szCs w:val="28"/>
        </w:rPr>
        <w:t>. Контроль за виконанням програми</w:t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Контроль за виконанням цієї програми покласти на </w:t>
      </w:r>
      <w:r>
        <w:rPr>
          <w:rFonts w:cs="Times New Roman" w:eastAsia="Times New Roman"/>
          <w:color w:val="000000"/>
          <w:sz w:val="28"/>
          <w:szCs w:val="28"/>
        </w:rPr>
        <w:t>постійну депутатську комісію з питань житлово-комунального господарства та паливно-енергетичного комплексу, підприємництва, промисловості та на постійну депутатську комісію з питань бюджету та соціально-економічного розвитку міста.</w:t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Начальник управління</w:t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комунальною власністю</w:t>
        <w:tab/>
        <w:tab/>
        <w:tab/>
        <w:tab/>
        <w:tab/>
        <w:tab/>
        <w:t>Д.Г. Котлов</w:t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color w:val="000000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>Мелітопольський міський голова</w:t>
        <w:tab/>
        <w:tab/>
        <w:tab/>
        <w:tab/>
        <w:tab/>
        <w:t>С.А. Мінько</w:t>
      </w:r>
    </w:p>
    <w:sectPr>
      <w:headerReference r:id="rId3" w:type="default"/>
      <w:footerReference r:id="rId4" w:type="default"/>
      <w:type w:val="nextPage"/>
      <w:pgSz w:h="16838" w:w="11906"/>
      <w:pgMar w:bottom="1134" w:footer="510" w:gutter="0" w:header="510" w:left="1701" w:right="567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1050" w:val="num"/>
        </w:tabs>
        <w:ind w:hanging="360" w:left="1050"/>
      </w:pPr>
    </w:lvl>
    <w:lvl w:ilvl="1">
      <w:start w:val="1"/>
      <w:numFmt w:val="lowerLetter"/>
      <w:lvlText w:val="%2."/>
      <w:lvlJc w:val="left"/>
      <w:pPr>
        <w:tabs>
          <w:tab w:pos="1770" w:val="num"/>
        </w:tabs>
        <w:ind w:hanging="360" w:left="1770"/>
      </w:pPr>
    </w:lvl>
    <w:lvl w:ilvl="2">
      <w:start w:val="1"/>
      <w:numFmt w:val="lowerRoman"/>
      <w:lvlText w:val="%3."/>
      <w:lvlJc w:val="right"/>
      <w:pPr>
        <w:tabs>
          <w:tab w:pos="2490" w:val="num"/>
        </w:tabs>
        <w:ind w:hanging="180" w:left="2490"/>
      </w:pPr>
    </w:lvl>
    <w:lvl w:ilvl="3">
      <w:start w:val="1"/>
      <w:numFmt w:val="decimal"/>
      <w:lvlText w:val="%4."/>
      <w:lvlJc w:val="left"/>
      <w:pPr>
        <w:tabs>
          <w:tab w:pos="3210" w:val="num"/>
        </w:tabs>
        <w:ind w:hanging="360" w:left="3210"/>
      </w:pPr>
    </w:lvl>
    <w:lvl w:ilvl="4">
      <w:start w:val="1"/>
      <w:numFmt w:val="lowerLetter"/>
      <w:lvlText w:val="%5."/>
      <w:lvlJc w:val="left"/>
      <w:pPr>
        <w:tabs>
          <w:tab w:pos="3930" w:val="num"/>
        </w:tabs>
        <w:ind w:hanging="360" w:left="3930"/>
      </w:pPr>
    </w:lvl>
    <w:lvl w:ilvl="5">
      <w:start w:val="1"/>
      <w:numFmt w:val="lowerRoman"/>
      <w:lvlText w:val="%6."/>
      <w:lvlJc w:val="right"/>
      <w:pPr>
        <w:tabs>
          <w:tab w:pos="4650" w:val="num"/>
        </w:tabs>
        <w:ind w:hanging="180" w:left="4650"/>
      </w:pPr>
    </w:lvl>
    <w:lvl w:ilvl="6">
      <w:start w:val="1"/>
      <w:numFmt w:val="decimal"/>
      <w:lvlText w:val="%7."/>
      <w:lvlJc w:val="left"/>
      <w:pPr>
        <w:tabs>
          <w:tab w:pos="5370" w:val="num"/>
        </w:tabs>
        <w:ind w:hanging="360" w:left="5370"/>
      </w:pPr>
    </w:lvl>
    <w:lvl w:ilvl="7">
      <w:start w:val="1"/>
      <w:numFmt w:val="lowerLetter"/>
      <w:lvlText w:val="%8."/>
      <w:lvlJc w:val="left"/>
      <w:pPr>
        <w:tabs>
          <w:tab w:pos="6090" w:val="num"/>
        </w:tabs>
        <w:ind w:hanging="360" w:left="6090"/>
      </w:pPr>
    </w:lvl>
    <w:lvl w:ilvl="8">
      <w:start w:val="1"/>
      <w:numFmt w:val="lowerRoman"/>
      <w:lvlText w:val="%9."/>
      <w:lvlJc w:val="right"/>
      <w:pPr>
        <w:tabs>
          <w:tab w:pos="6810" w:val="num"/>
        </w:tabs>
        <w:ind w:hanging="180" w:left="681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uk-UA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next w:val="style16"/>
    <w:rPr>
      <w:sz w:val="24"/>
      <w:szCs w:val="24"/>
    </w:rPr>
  </w:style>
  <w:style w:styleId="style17" w:type="character">
    <w:name w:val="Верхний колонтитул Знак"/>
    <w:basedOn w:val="style15"/>
    <w:next w:val="style17"/>
    <w:rPr>
      <w:rFonts w:ascii="Times New Roman" w:cs="Lohit Hindi" w:eastAsia="DejaVu Sans" w:hAnsi="Times New Roman"/>
      <w:sz w:val="24"/>
      <w:szCs w:val="24"/>
      <w:lang w:bidi="hi-IN" w:eastAsia="zh-CN" w:val="uk-UA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819" w:val="center"/>
        <w:tab w:leader="none" w:pos="9638" w:val="right"/>
      </w:tabs>
    </w:pPr>
    <w:rPr/>
  </w:style>
  <w:style w:styleId="style24" w:type="paragraph">
    <w:name w:val="Нижний колонтитул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2017-03-13T13:22:00Z</dcterms:created>
  <dc:creator>user</dc:creator>
  <cp:lastModifiedBy>512k</cp:lastModifiedBy>
  <cp:lastPrinted>2017-03-16T07:00:00Z</cp:lastPrinted>
  <dcterms:modified xsi:type="dcterms:W3CDTF">2017-03-16T13:32:00Z</dcterms:modified>
  <cp:revision>17</cp:revision>
</cp:coreProperties>
</file>